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E9171">
      <w:pPr>
        <w:pStyle w:val="5"/>
        <w:bidi w:val="0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</w:p>
    <w:p w14:paraId="79F2A50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0315543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40F664C">
      <w:pPr>
        <w:pStyle w:val="2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F147707">
      <w:pPr>
        <w:pStyle w:val="4"/>
        <w:rPr>
          <w:rFonts w:hint="default" w:ascii="Times New Roman" w:hAnsi="Times New Roman"/>
        </w:rPr>
      </w:pPr>
    </w:p>
    <w:p w14:paraId="6D473E04">
      <w:pPr>
        <w:pStyle w:val="4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FA80296">
      <w:pPr>
        <w:rPr>
          <w:rFonts w:hint="default" w:ascii="Times New Roman" w:hAnsi="Times New Roman"/>
        </w:rPr>
      </w:pPr>
    </w:p>
    <w:p w14:paraId="507E11D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  <w:t>数字经济发展经费项目</w:t>
      </w:r>
    </w:p>
    <w:p w14:paraId="7E99599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  <w:t>绩效评价报告</w:t>
      </w:r>
    </w:p>
    <w:p w14:paraId="76644B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1574E3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before="1405" w:beforeLines="450"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5085"/>
      </w:tblGrid>
      <w:tr w14:paraId="0AF09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65" w:type="dxa"/>
            <w:noWrap w:val="0"/>
            <w:vAlign w:val="top"/>
          </w:tcPr>
          <w:p w14:paraId="0142D13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评价委托单位：</w:t>
            </w:r>
          </w:p>
        </w:tc>
        <w:tc>
          <w:tcPr>
            <w:tcW w:w="5085" w:type="dxa"/>
            <w:noWrap w:val="0"/>
            <w:vAlign w:val="top"/>
          </w:tcPr>
          <w:p w14:paraId="1A9208B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中共内蒙古自治区委员会网络安全和信息化委员会办公室</w:t>
            </w:r>
          </w:p>
        </w:tc>
      </w:tr>
      <w:tr w14:paraId="1BE23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65" w:type="dxa"/>
            <w:noWrap w:val="0"/>
            <w:vAlign w:val="top"/>
          </w:tcPr>
          <w:p w14:paraId="6B9E1DE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pacing w:val="80"/>
                <w:kern w:val="0"/>
                <w:sz w:val="32"/>
                <w:szCs w:val="32"/>
                <w:highlight w:val="none"/>
                <w:fitText w:val="2240" w:id="1838440847"/>
              </w:rPr>
              <w:t>评价机构</w:t>
            </w: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pacing w:val="0"/>
                <w:kern w:val="0"/>
                <w:sz w:val="32"/>
                <w:szCs w:val="32"/>
                <w:highlight w:val="none"/>
                <w:fitText w:val="2240" w:id="1838440847"/>
              </w:rPr>
              <w:t>：</w:t>
            </w:r>
          </w:p>
        </w:tc>
        <w:tc>
          <w:tcPr>
            <w:tcW w:w="5085" w:type="dxa"/>
            <w:noWrap w:val="0"/>
            <w:vAlign w:val="top"/>
          </w:tcPr>
          <w:p w14:paraId="27C743F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内蒙古溪流绩效管理咨询有限公司</w:t>
            </w:r>
          </w:p>
        </w:tc>
      </w:tr>
    </w:tbl>
    <w:p w14:paraId="0E8F077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</w:p>
    <w:p w14:paraId="2437DA4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月</w:t>
      </w:r>
    </w:p>
    <w:p w14:paraId="2532E6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</w:p>
    <w:p w14:paraId="49E5693E">
      <w:pPr>
        <w:pStyle w:val="4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sectPr>
          <w:pgSz w:w="11906" w:h="16838"/>
          <w:pgMar w:top="1701" w:right="1474" w:bottom="1134" w:left="1587" w:header="850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0E8CD2B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aps w:val="0"/>
          <w:smallCaps w:val="0"/>
          <w:sz w:val="44"/>
          <w:szCs w:val="44"/>
          <w:highlight w:val="none"/>
        </w:rPr>
        <w:t>数字经济发展经费项目绩效评价报告</w:t>
      </w:r>
    </w:p>
    <w:p w14:paraId="67E43939">
      <w:pPr>
        <w:pStyle w:val="5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autoSpaceDN/>
        <w:bidi w:val="0"/>
        <w:adjustRightInd w:val="0"/>
        <w:snapToGrid w:val="0"/>
        <w:spacing w:line="600" w:lineRule="exact"/>
        <w:ind w:left="-10" w:leftChars="0" w:firstLine="640" w:firstLineChars="200"/>
        <w:rPr>
          <w:rFonts w:hint="default" w:ascii="Times New Roman" w:hAnsi="Times New Roman" w:eastAsia="仿宋_GB2312" w:cs="Times New Roman"/>
          <w:kern w:val="44"/>
          <w:sz w:val="32"/>
          <w:szCs w:val="32"/>
          <w:highlight w:val="none"/>
          <w:lang w:val="en-US" w:eastAsia="zh-CN" w:bidi="ar-SA"/>
        </w:rPr>
      </w:pPr>
    </w:p>
    <w:p w14:paraId="137F30ED"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0" w:name="_Toc1105304914"/>
      <w:r>
        <w:rPr>
          <w:rFonts w:hint="default" w:ascii="Times New Roman" w:hAnsi="Times New Roman"/>
          <w:lang w:val="en-US" w:eastAsia="zh-CN"/>
        </w:rPr>
        <w:t>一、</w:t>
      </w:r>
      <w:r>
        <w:rPr>
          <w:rFonts w:hint="default" w:ascii="Times New Roman" w:hAnsi="Times New Roman"/>
        </w:rPr>
        <w:t>基本情况</w:t>
      </w:r>
      <w:bookmarkEnd w:id="0"/>
    </w:p>
    <w:p w14:paraId="6A17EC9C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1" w:name="_Toc882185311"/>
      <w:r>
        <w:rPr>
          <w:rFonts w:hint="default" w:ascii="Times New Roman" w:hAnsi="Times New Roman"/>
          <w:lang w:eastAsia="zh-CN"/>
        </w:rPr>
        <w:t>（</w:t>
      </w:r>
      <w:r>
        <w:rPr>
          <w:rFonts w:hint="default" w:ascii="Times New Roman" w:hAnsi="Times New Roman"/>
          <w:lang w:val="en-US" w:eastAsia="zh-CN"/>
        </w:rPr>
        <w:t>一</w:t>
      </w:r>
      <w:r>
        <w:rPr>
          <w:rFonts w:hint="default" w:ascii="Times New Roman" w:hAnsi="Times New Roman"/>
          <w:lang w:eastAsia="zh-CN"/>
        </w:rPr>
        <w:t>）</w:t>
      </w:r>
      <w:r>
        <w:rPr>
          <w:rFonts w:hint="default" w:ascii="Times New Roman" w:hAnsi="Times New Roman"/>
          <w:lang w:val="en-US" w:eastAsia="zh-CN"/>
        </w:rPr>
        <w:t>项目内容</w:t>
      </w:r>
      <w:bookmarkEnd w:id="1"/>
    </w:p>
    <w:p w14:paraId="6BC08C8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共内蒙古自治区委员会网络安全和信息化委员会办公室（以下简称自治区党委网信办）作为统筹推进全区网络安全和信息化工作的核心职能部门，立足自治区数字经济发展实际需求，以筑牢数字安全屏障、赋能网信工作提质增效为核心目标，牵头实施数字经济发展经费项目。</w:t>
      </w:r>
    </w:p>
    <w:p w14:paraId="4B1F1B2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该项目紧扣数字经济安全发展与网信工作重点任务推进，通过系统性开展多维度工作，全面强化数字经济领域安全保障能力、完善网信工作支撑体系。本项目具体涵盖IPv6发展监测评估、数字乡村建设、网络数据安全检查评估、App/小程序安全评估、深化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相关项目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实施方案编制及尾款支付、个人信息保护社会调查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专项治理、网信宣传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、专家咨询论证等九个</w:t>
      </w:r>
      <w:bookmarkStart w:id="9" w:name="_GoBack"/>
      <w:bookmarkEnd w:id="9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子项目。</w:t>
      </w:r>
    </w:p>
    <w:p w14:paraId="58F7A7A3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2" w:name="_Toc1170915707"/>
      <w:r>
        <w:rPr>
          <w:rFonts w:hint="default" w:ascii="Times New Roman" w:hAnsi="Times New Roman"/>
          <w:lang w:val="en-US" w:eastAsia="zh-CN"/>
        </w:rPr>
        <w:t>（二）资金投入及支出情况</w:t>
      </w:r>
      <w:bookmarkEnd w:id="2"/>
    </w:p>
    <w:p w14:paraId="3F174A7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项目资金来源为财政预算安排，年初总投入资金271万元，全部用于数字经济发展相关的服务采购、宣传推广、专家评审等具体工作。</w:t>
      </w:r>
    </w:p>
    <w:p w14:paraId="4CA74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截止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2025年12月31日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，实际支出234.32万元，预算执行</w:t>
      </w:r>
      <w:r>
        <w:rPr>
          <w:rFonts w:hint="default" w:ascii="Times New Roman" w:hAnsi="Times New Roman" w:eastAsia="仿宋_GB2312" w:cs="Times New Roman"/>
          <w:caps w:val="0"/>
          <w:smallCaps w:val="0"/>
          <w:strike w:val="0"/>
          <w:dstrike w:val="0"/>
          <w:sz w:val="32"/>
          <w:szCs w:val="32"/>
          <w:highlight w:val="none"/>
          <w:lang w:val="en-US" w:eastAsia="zh-CN"/>
        </w:rPr>
        <w:t>率为86.46%，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结余资金36.68万元已于年底交回财政。</w:t>
      </w:r>
      <w:r>
        <w:rPr>
          <w:rFonts w:hint="default" w:ascii="Times New Roman" w:hAnsi="Times New Roman" w:eastAsia="仿宋_GB2312" w:cs="Times New Roman"/>
          <w:caps w:val="0"/>
          <w:smallCaps w:val="0"/>
          <w:strike w:val="0"/>
          <w:dstrike w:val="0"/>
          <w:sz w:val="32"/>
          <w:szCs w:val="32"/>
          <w:highlight w:val="none"/>
          <w:lang w:val="en-US" w:eastAsia="zh-CN"/>
        </w:rPr>
        <w:t>资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金实行专项管理、专款专用，未发现截留、挤占、挪用等违法违规情形。</w:t>
      </w:r>
    </w:p>
    <w:p w14:paraId="2E106A01">
      <w:pPr>
        <w:pStyle w:val="11"/>
        <w:keepNext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数字经济发展经费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年初预算资金执行表</w:t>
      </w:r>
    </w:p>
    <w:p w14:paraId="16486483"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outlineLvl w:val="2"/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-SA"/>
        </w:rPr>
        <w:t>单位：万元</w:t>
      </w:r>
    </w:p>
    <w:tbl>
      <w:tblPr>
        <w:tblStyle w:val="8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214"/>
        <w:gridCol w:w="4182"/>
        <w:gridCol w:w="972"/>
        <w:gridCol w:w="1204"/>
        <w:gridCol w:w="986"/>
      </w:tblGrid>
      <w:tr w14:paraId="643BC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249" w:type="pct"/>
            <w:noWrap w:val="0"/>
            <w:vAlign w:val="center"/>
          </w:tcPr>
          <w:p w14:paraId="0B4620C3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676" w:type="pct"/>
            <w:noWrap w:val="0"/>
            <w:vAlign w:val="center"/>
          </w:tcPr>
          <w:p w14:paraId="1C27E7CD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2313" w:type="pct"/>
            <w:noWrap w:val="0"/>
            <w:vAlign w:val="center"/>
          </w:tcPr>
          <w:p w14:paraId="22DBC5F2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支出明细</w:t>
            </w:r>
          </w:p>
        </w:tc>
        <w:tc>
          <w:tcPr>
            <w:tcW w:w="542" w:type="pct"/>
            <w:noWrap w:val="0"/>
            <w:vAlign w:val="center"/>
          </w:tcPr>
          <w:p w14:paraId="5FBA7D5A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年初预算资金</w:t>
            </w:r>
          </w:p>
        </w:tc>
        <w:tc>
          <w:tcPr>
            <w:tcW w:w="670" w:type="pct"/>
            <w:noWrap w:val="0"/>
            <w:vAlign w:val="center"/>
          </w:tcPr>
          <w:p w14:paraId="68FABE21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实际支</w:t>
            </w:r>
          </w:p>
          <w:p w14:paraId="16868F1F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付金额</w:t>
            </w:r>
          </w:p>
        </w:tc>
        <w:tc>
          <w:tcPr>
            <w:tcW w:w="547" w:type="pct"/>
            <w:noWrap w:val="0"/>
            <w:vAlign w:val="center"/>
          </w:tcPr>
          <w:p w14:paraId="4BE30A91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结余</w:t>
            </w:r>
          </w:p>
          <w:p w14:paraId="5220D3FC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资金</w:t>
            </w:r>
          </w:p>
        </w:tc>
      </w:tr>
      <w:tr w14:paraId="7C476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1C59D5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443BC3F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app/小程序安全评估服务</w:t>
            </w:r>
          </w:p>
        </w:tc>
        <w:tc>
          <w:tcPr>
            <w:tcW w:w="2313" w:type="pct"/>
            <w:noWrap w:val="0"/>
            <w:vAlign w:val="center"/>
          </w:tcPr>
          <w:p w14:paraId="78A7A3F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2025年APP/小程序安全评估服务项目委托采购代理服务费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026F61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35</w:t>
            </w:r>
          </w:p>
        </w:tc>
        <w:tc>
          <w:tcPr>
            <w:tcW w:w="670" w:type="pct"/>
            <w:noWrap w:val="0"/>
            <w:vAlign w:val="center"/>
          </w:tcPr>
          <w:p w14:paraId="03C88D9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9CDA8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</w:t>
            </w:r>
          </w:p>
        </w:tc>
      </w:tr>
      <w:tr w14:paraId="2DD1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5047F52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324913E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6905A5C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2025年APP/小程序安全评估服务项目首付款（60%）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1FE7636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A75FE2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20.4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7E3D4A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3D7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03AA9F9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666E82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2C28782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支付委托业务费（评估尾款）：2025年APP/小程序安全评估服务项目合同尾款（40%）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E659B5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39139D5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13.6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385E5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866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F113E4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385AF7A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网络数据安全检查评估服务</w:t>
            </w:r>
          </w:p>
        </w:tc>
        <w:tc>
          <w:tcPr>
            <w:tcW w:w="2313" w:type="pct"/>
            <w:noWrap w:val="0"/>
            <w:vAlign w:val="center"/>
          </w:tcPr>
          <w:p w14:paraId="54FA73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2025年网络数据安全检查评估服务项目委托采购代理服务费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3217785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90</w:t>
            </w:r>
          </w:p>
        </w:tc>
        <w:tc>
          <w:tcPr>
            <w:tcW w:w="670" w:type="pct"/>
            <w:noWrap w:val="0"/>
            <w:vAlign w:val="center"/>
          </w:tcPr>
          <w:p w14:paraId="5D713EF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51C176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0.6</w:t>
            </w:r>
          </w:p>
        </w:tc>
      </w:tr>
      <w:tr w14:paraId="48DD6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5E142C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1EC0969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536933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2025年网络数据安全检查评估服务项目合同首付款（60%）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37A2E8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7FC517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53.16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9CEC9B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49E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0661E7D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0D9CC76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4050B6A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支付委托安全检查尾款：2025年网络数据安全检查评估服务项目采购合同尾款（40%）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1DE4263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2F31C1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35.44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0CD23E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208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74DE22E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6CC7421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个人信息保护社会调查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专项治理服务</w:t>
            </w:r>
          </w:p>
        </w:tc>
        <w:tc>
          <w:tcPr>
            <w:tcW w:w="2313" w:type="pct"/>
            <w:noWrap w:val="0"/>
            <w:vAlign w:val="center"/>
          </w:tcPr>
          <w:p w14:paraId="3394AB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2025年个人信息保护研究和专项治理支撑服务项目委托采购代理服务费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4C522EF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54</w:t>
            </w:r>
          </w:p>
        </w:tc>
        <w:tc>
          <w:tcPr>
            <w:tcW w:w="670" w:type="pct"/>
            <w:noWrap w:val="0"/>
            <w:vAlign w:val="center"/>
          </w:tcPr>
          <w:p w14:paraId="54648FB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FC21A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2.7</w:t>
            </w:r>
          </w:p>
        </w:tc>
      </w:tr>
      <w:tr w14:paraId="46DC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A35967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75A6FA5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329457D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支付委托业务费（首付款）：2025年个人信息保护研究和专项治理支撑服务项目合同首付（60%）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5E2AC23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410E2C0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30.3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F150F4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D34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3CDAC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3630E72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2C8E96C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支付委托业务费（尾款）：2025年个人信息保护研究和专项治理支撑服务项目合同尾款（40%）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08799A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47100BE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20.2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E97F96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77F2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C4E91C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7071B48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实施方案编制服务尾款</w:t>
            </w:r>
          </w:p>
        </w:tc>
        <w:tc>
          <w:tcPr>
            <w:tcW w:w="2313" w:type="pct"/>
            <w:noWrap w:val="0"/>
            <w:vAlign w:val="center"/>
          </w:tcPr>
          <w:p w14:paraId="6119534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项目分级保护设计方案评审费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6369EC2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5.5</w:t>
            </w:r>
          </w:p>
        </w:tc>
        <w:tc>
          <w:tcPr>
            <w:tcW w:w="670" w:type="pct"/>
            <w:noWrap w:val="0"/>
            <w:vAlign w:val="center"/>
          </w:tcPr>
          <w:p w14:paraId="109CE91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0.3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088E894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185</w:t>
            </w:r>
          </w:p>
        </w:tc>
      </w:tr>
      <w:tr w14:paraId="0836D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78078EB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630CED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057041A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支付个税：缴纳深化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项目分级保护设计方案评审专家个人所得税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76B911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 w14:paraId="6620548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0.015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772D882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292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B1D16B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4D11610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IPv6发展监测评估服务</w:t>
            </w:r>
          </w:p>
        </w:tc>
        <w:tc>
          <w:tcPr>
            <w:tcW w:w="2313" w:type="pct"/>
            <w:noWrap w:val="0"/>
            <w:vAlign w:val="center"/>
          </w:tcPr>
          <w:p w14:paraId="4CD4240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2024年IPv6监测技术服务项目专家评审费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7AB8D53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670" w:type="pct"/>
            <w:noWrap w:val="0"/>
            <w:vAlign w:val="center"/>
          </w:tcPr>
          <w:p w14:paraId="5687352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33D3EF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0.28</w:t>
            </w:r>
          </w:p>
        </w:tc>
      </w:tr>
      <w:tr w14:paraId="7B89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B6FFB5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2B60373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BC491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2024年IPv6监测技术服务项目合同尾款（40%）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2A41F7B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55F723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11.52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834783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5CA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9BAC49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5341791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0EB674F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2025年IPv6监测技术服务与IPv6发展形势分析研究服务项目委托采购代理服务费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BC64B3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19C09DD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DDBC4A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A29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2AB7C8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2DF25D6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6DC0056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2025年IPv6监测技术服务项目首付款（60%）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D38879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8601B6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10.08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0AE43EB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6AD8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0BE8F7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16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15D42F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493E42A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IPv6发展形势分析研究服务项目首付款（60%）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B03D5E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55F0D8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7.08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A75A2C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607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B48634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17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57537F2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数字乡村建设工作</w:t>
            </w:r>
          </w:p>
        </w:tc>
        <w:tc>
          <w:tcPr>
            <w:tcW w:w="2313" w:type="pct"/>
            <w:noWrap w:val="0"/>
            <w:vAlign w:val="center"/>
          </w:tcPr>
          <w:p w14:paraId="70CBD53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支付劳务费：2025年网信创新人才和网信优秀人才推荐评审专家劳务费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057A539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670" w:type="pct"/>
            <w:noWrap w:val="0"/>
            <w:vAlign w:val="center"/>
          </w:tcPr>
          <w:p w14:paraId="2440E16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0D18415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22.52</w:t>
            </w:r>
          </w:p>
        </w:tc>
      </w:tr>
      <w:tr w14:paraId="0037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5F39AEC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7284441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3E4C56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专家评审费：2025年全国数字乡村创新大赛初赛专家评审费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E73CDA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 w14:paraId="5967A4F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68BD6CF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C0E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CA350B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05F24D0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网信宣传项目</w:t>
            </w:r>
          </w:p>
        </w:tc>
        <w:tc>
          <w:tcPr>
            <w:tcW w:w="2313" w:type="pct"/>
            <w:noWrap w:val="0"/>
            <w:vAlign w:val="center"/>
          </w:tcPr>
          <w:p w14:paraId="61258E3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2025年网信宣传项目首付款（60%）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36F0A60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670" w:type="pct"/>
            <w:noWrap w:val="0"/>
            <w:vAlign w:val="center"/>
          </w:tcPr>
          <w:p w14:paraId="51278F1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16.91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1430223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1.81</w:t>
            </w:r>
          </w:p>
        </w:tc>
      </w:tr>
      <w:tr w14:paraId="6C34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FC3C53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44DD452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3AD398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58485C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3CA6BFD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11.2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A1F17A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A1E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DFE675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676" w:type="pct"/>
            <w:noWrap w:val="0"/>
            <w:vAlign w:val="center"/>
          </w:tcPr>
          <w:p w14:paraId="3A08C5C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专家咨询论证</w:t>
            </w:r>
          </w:p>
        </w:tc>
        <w:tc>
          <w:tcPr>
            <w:tcW w:w="2313" w:type="pct"/>
            <w:noWrap w:val="0"/>
            <w:vAlign w:val="center"/>
          </w:tcPr>
          <w:p w14:paraId="41397D9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网信宣传项目评审劳务费</w:t>
            </w:r>
          </w:p>
        </w:tc>
        <w:tc>
          <w:tcPr>
            <w:tcW w:w="542" w:type="pct"/>
            <w:noWrap w:val="0"/>
            <w:vAlign w:val="center"/>
          </w:tcPr>
          <w:p w14:paraId="296C69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3.5</w:t>
            </w:r>
          </w:p>
        </w:tc>
        <w:tc>
          <w:tcPr>
            <w:tcW w:w="670" w:type="pct"/>
            <w:noWrap w:val="0"/>
            <w:vAlign w:val="center"/>
          </w:tcPr>
          <w:p w14:paraId="287BF3F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0.12</w:t>
            </w:r>
          </w:p>
        </w:tc>
        <w:tc>
          <w:tcPr>
            <w:tcW w:w="547" w:type="pct"/>
            <w:noWrap w:val="0"/>
            <w:vAlign w:val="center"/>
          </w:tcPr>
          <w:p w14:paraId="0FC7AF7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3.38</w:t>
            </w:r>
          </w:p>
        </w:tc>
      </w:tr>
      <w:tr w14:paraId="388A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239" w:type="pct"/>
            <w:gridSpan w:val="3"/>
            <w:noWrap w:val="0"/>
            <w:vAlign w:val="center"/>
          </w:tcPr>
          <w:p w14:paraId="3F4497B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542" w:type="pct"/>
            <w:noWrap w:val="0"/>
            <w:vAlign w:val="center"/>
          </w:tcPr>
          <w:p w14:paraId="4CFA7F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271</w:t>
            </w:r>
          </w:p>
        </w:tc>
        <w:tc>
          <w:tcPr>
            <w:tcW w:w="670" w:type="pct"/>
            <w:noWrap w:val="0"/>
            <w:vAlign w:val="center"/>
          </w:tcPr>
          <w:p w14:paraId="7327804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234.32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547" w:type="pct"/>
            <w:noWrap w:val="0"/>
            <w:vAlign w:val="center"/>
          </w:tcPr>
          <w:p w14:paraId="51644EB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36.6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75</w:t>
            </w:r>
          </w:p>
        </w:tc>
      </w:tr>
    </w:tbl>
    <w:p w14:paraId="08C387B2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3" w:name="_Toc1289520804"/>
      <w:r>
        <w:rPr>
          <w:rFonts w:hint="default" w:ascii="Times New Roman" w:hAnsi="Times New Roman"/>
          <w:lang w:val="en-US" w:eastAsia="zh-CN"/>
        </w:rPr>
        <w:t>（三）项目绩效目标</w:t>
      </w:r>
      <w:bookmarkEnd w:id="3"/>
    </w:p>
    <w:p w14:paraId="6FFC9A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1.项目绩效总目标</w:t>
      </w:r>
    </w:p>
    <w:p w14:paraId="30B6ADF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IPv6发展监测评估服务项目，建立规范的IPv6发展监测机制，编制3份高质量IPv6发展监测报告；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数字乡村建设工作项目，完成数字乡村建设相关报告编制，规范组织网信创新人才评审及数字乡村创新大赛初赛；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网络数据安全检查评估服务项目，完成9家重点单位信息系统评估，编制9份评估报告；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App/小程序安全评估服务项目，完成100个App/小程序安全评估，形成整改规范；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五是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深化相关项目实施方案编制评审工作，保障项目顺利结项，足额支付评审相关费用；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六是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个人信息保护专项治理服务项目，完成40个以内高频场景被检主体治理，编制专项治理报告；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七是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个人信息保护社会调查服务项目，摸排重点行业个人信息保护现状，编制社会调查报告；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八是</w:t>
      </w:r>
      <w:r>
        <w:rPr>
          <w:rFonts w:hint="eastAsia" w:ascii="Times New Roman" w:hAnsi="Times New Roman" w:cs="Times New Roman"/>
          <w:b w:val="0"/>
          <w:bCs w:val="0"/>
          <w:caps w:val="0"/>
          <w:smallCaps w:val="0"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网信宣传项目，完成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采购与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验收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九是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专家咨询论证项目，组织1次专家咨询论证会，提供专业支撑。</w:t>
      </w:r>
    </w:p>
    <w:p w14:paraId="2C31BDB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2.项目绩效阶段性目标</w:t>
      </w:r>
    </w:p>
    <w:p w14:paraId="7A16056A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一是发展监测评估报告按季度出具，严格遵循年度时效要求完成IPv6发展监测报告的编制提交，确保每季度报告及时反映IPv6发展动态与数字经济发展态势；</w:t>
      </w:r>
    </w:p>
    <w:p w14:paraId="4682585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二是安全评估技术服务报告在评估完成后1个月之内出具，分4批次开展App/小程序安全评估，每批次评估工作结束后1个月内完成对应批次安全评估报告编制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42089743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三是个人信息保护专项治理报告于2025年11月底前完成编制并提交，专项治理现场工作（5-9月）结束后，集中梳理治理数据、问题整改情况及成效，按时效要求完成报告编制备案；</w:t>
      </w:r>
    </w:p>
    <w:p w14:paraId="3FAD995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四是个人信息保护社会调查报告于2025年11月底前完成编制并提交，同步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与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专项治理工作开展社会调研，及时汇总调研数据、分析结果，确保报告与专项治理报告同步提交、相互支撑；</w:t>
      </w:r>
    </w:p>
    <w:p w14:paraId="12C9D61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五是网络数据安全评估报告在评估完成后1个月之内出具，9家单位的评估工作分季度推进，每完成1家单位的现场核查与技术检测，1个月内完成对应评估报告编制，保障整改工作及时启动；</w:t>
      </w:r>
    </w:p>
    <w:p w14:paraId="785B5094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六是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产品验收时间符合合同要求，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2025年4月完成网信宣传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项目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合同签订后，按合同约定15天实施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相关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采购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工作并完成验收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，确保后续宣传活动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顺利开展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05BDBEB7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七是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产品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使用时间符合活动要求，在网络安全宣传周、全民数字素养提升月、互联网违法和不良信息举报宣传等活动开展期间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使用，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提升宣传效果；</w:t>
      </w:r>
    </w:p>
    <w:p w14:paraId="2C52D627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八是4-8月分批次完成App/小程序安全评估全流程后，8月底前制定安全问题整改指引，为评估对象整改及后续同类评估工作提供明确依据；</w:t>
      </w:r>
    </w:p>
    <w:p w14:paraId="18000F51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九是10月底前完成个人信息保护治理档案整理归档，涵盖现场核验记录、整改通知书等核心资料，确保档案分类清晰、内容完整，支撑后续治理工作参考。</w:t>
      </w:r>
    </w:p>
    <w:p w14:paraId="4F6044A1">
      <w:pPr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</w:p>
    <w:p w14:paraId="7930AD58">
      <w:pPr>
        <w:pStyle w:val="5"/>
        <w:pageBreakBefore w:val="0"/>
        <w:widowControl w:val="0"/>
        <w:numPr>
          <w:ilvl w:val="0"/>
          <w:numId w:val="1"/>
        </w:numPr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4" w:name="_Toc412385108"/>
      <w:r>
        <w:rPr>
          <w:rFonts w:hint="default" w:ascii="Times New Roman" w:hAnsi="Times New Roman"/>
        </w:rPr>
        <w:t>评价结论</w:t>
      </w:r>
      <w:bookmarkEnd w:id="4"/>
    </w:p>
    <w:p w14:paraId="1C51A6C9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eastAsia="zh-CN"/>
        </w:rPr>
      </w:pPr>
      <w:bookmarkStart w:id="5" w:name="_Toc1943641755"/>
      <w:r>
        <w:rPr>
          <w:rFonts w:hint="default" w:ascii="Times New Roman" w:hAnsi="Times New Roman"/>
          <w:lang w:eastAsia="zh-CN"/>
        </w:rPr>
        <w:t>（一）评价结果</w:t>
      </w:r>
      <w:bookmarkEnd w:id="5"/>
    </w:p>
    <w:p w14:paraId="4D0585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该项目绩效评价综合评分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94.47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，评级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优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。</w:t>
      </w:r>
    </w:p>
    <w:p w14:paraId="5DFDE5DD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eastAsia="zh-CN"/>
        </w:rPr>
      </w:pPr>
      <w:bookmarkStart w:id="6" w:name="_Toc532495933"/>
      <w:r>
        <w:rPr>
          <w:rFonts w:hint="default" w:ascii="Times New Roman" w:hAnsi="Times New Roman"/>
          <w:lang w:eastAsia="zh-CN"/>
        </w:rPr>
        <w:t>（</w:t>
      </w:r>
      <w:r>
        <w:rPr>
          <w:rFonts w:hint="default" w:ascii="Times New Roman" w:hAnsi="Times New Roman"/>
          <w:lang w:val="en-US" w:eastAsia="zh-CN"/>
        </w:rPr>
        <w:t>二</w:t>
      </w:r>
      <w:r>
        <w:rPr>
          <w:rFonts w:hint="default" w:ascii="Times New Roman" w:hAnsi="Times New Roman"/>
          <w:lang w:eastAsia="zh-CN"/>
        </w:rPr>
        <w:t>）总体结论</w:t>
      </w:r>
      <w:bookmarkEnd w:id="6"/>
    </w:p>
    <w:p w14:paraId="1D6C5A8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本项目立项合规、绩效目标明确，核心产出任务全面完成，在网络数据安全防护、个人信息保护、网信知识普及等方面取得显著社会效益，可持续影响良好。但存在预算编制精准性不足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eastAsia="zh-CN"/>
        </w:rPr>
        <w:t>、绩效指标设置缺乏明确性等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问题，需进一步优化管理流程、强化预算约束。</w:t>
      </w:r>
    </w:p>
    <w:p w14:paraId="02E6F06B"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7" w:name="_Toc1552707048"/>
      <w:r>
        <w:rPr>
          <w:rFonts w:hint="default" w:ascii="Times New Roman" w:hAnsi="Times New Roman"/>
          <w:lang w:eastAsia="zh-CN"/>
        </w:rPr>
        <w:t>三</w:t>
      </w:r>
      <w:r>
        <w:rPr>
          <w:rFonts w:hint="default" w:ascii="Times New Roman" w:hAnsi="Times New Roman"/>
        </w:rPr>
        <w:t>、主要问题及相关建议</w:t>
      </w:r>
      <w:bookmarkEnd w:id="7"/>
    </w:p>
    <w:p w14:paraId="4C9EA708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outlineLvl w:val="1"/>
        <w:rPr>
          <w:rFonts w:hint="default" w:ascii="Times New Roman" w:hAnsi="Times New Roman"/>
          <w:lang w:val="en-US" w:eastAsia="zh-CN"/>
        </w:rPr>
      </w:pPr>
      <w:bookmarkStart w:id="8" w:name="_Toc208472648"/>
      <w:r>
        <w:rPr>
          <w:rFonts w:hint="default" w:ascii="Times New Roman" w:hAnsi="Times New Roman"/>
          <w:lang w:val="en-US" w:eastAsia="zh-CN"/>
        </w:rPr>
        <w:t>（一）预算管理方面</w:t>
      </w:r>
      <w:bookmarkEnd w:id="8"/>
    </w:p>
    <w:p w14:paraId="5D12EE1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问题：预算编制精准性不足，前期调研与测算不充分。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数字乡村建设项目年初预算23万元，实际仅支出0.48万元，年初预算执行率仅2.09%，形成资金沉淀；专家咨询论证项目年初预算3.5万元，实际支出0.12万元，预算与实际支出偏差较大。</w:t>
      </w:r>
    </w:p>
    <w:p w14:paraId="7C800D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建议：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强化预算编制科学论证，严格遵循“先论证、后编制”原则，结合财政厅“过紧日子”工作要求及单位实际履职需要，针对项目开展多方案、多口径成本测算，选择成本最低、效益最优方案，切实做到预算编制与实际需求精准匹配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加强预算管理</w:t>
      </w:r>
      <w:r>
        <w:rPr>
          <w:rFonts w:hint="eastAsia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应定期、不定期监控预算执行情况，动态识别执行偏差。对因政策原因及工作任务调整等因素产生的执行偏差，应按预算调整有关要求，及时统筹盘活资金，有效提高财政资金使用效益。</w:t>
      </w:r>
    </w:p>
    <w:p w14:paraId="3E9FF72A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default" w:ascii="Times New Roman" w:hAnsi="Times New Roman"/>
          <w:highlight w:val="none"/>
          <w:lang w:val="en-US" w:eastAsia="zh-CN"/>
        </w:rPr>
        <w:t>（</w:t>
      </w:r>
      <w:r>
        <w:rPr>
          <w:rFonts w:hint="eastAsia" w:ascii="Times New Roman" w:hAnsi="Times New Roman"/>
          <w:highlight w:val="none"/>
          <w:lang w:val="en-US" w:eastAsia="zh-CN"/>
        </w:rPr>
        <w:t>二</w:t>
      </w:r>
      <w:r>
        <w:rPr>
          <w:rFonts w:hint="default" w:ascii="Times New Roman" w:hAnsi="Times New Roman"/>
          <w:highlight w:val="none"/>
          <w:lang w:val="en-US" w:eastAsia="zh-CN"/>
        </w:rPr>
        <w:t>）</w:t>
      </w:r>
      <w:r>
        <w:rPr>
          <w:rFonts w:hint="eastAsia" w:ascii="Times New Roman" w:hAnsi="Times New Roman"/>
          <w:highlight w:val="none"/>
          <w:lang w:val="en-US" w:eastAsia="zh-CN"/>
        </w:rPr>
        <w:t>绩效</w:t>
      </w:r>
      <w:r>
        <w:rPr>
          <w:rFonts w:hint="default" w:ascii="Times New Roman" w:hAnsi="Times New Roman"/>
          <w:highlight w:val="none"/>
          <w:lang w:val="en-US" w:eastAsia="zh-CN"/>
        </w:rPr>
        <w:t>管理方面</w:t>
      </w:r>
    </w:p>
    <w:p w14:paraId="71BC8E5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问题：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部分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eastAsia="zh-CN"/>
        </w:rPr>
        <w:t>绩效指标设置不规范、精准度不足。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数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eastAsia="zh-CN"/>
        </w:rPr>
        <w:t>量指标中设定的三级指标“产品验收批次”，指标值仅设定为完成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1批次，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批次并非核心考核维度，指标</w:t>
      </w:r>
      <w:r>
        <w:rPr>
          <w:rFonts w:hint="eastAsia" w:ascii="Times New Roman" w:hAnsi="Times New Roman" w:cs="Times New Roman"/>
          <w:b w:val="0"/>
          <w:bCs w:val="0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设置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与项目核心目标任务不匹配，缺乏准确性与针对性；时效指标中“发展监测报告出具时间”仅明确按季度出具，未明确具体时间节点，指标表述模糊、可衡量性不强，无法准确反映项目年度核心任务完成情况。</w:t>
      </w:r>
    </w:p>
    <w:p w14:paraId="5CB71F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ascii="Times New Roman" w:hAnsi="Times New Roma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建议：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强化第三方专业支撑，提升绩效指标科学化、精细化管理水平。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引入第三方专业机构，全程协助开展绩效指标梳理、设置、审核与完善工作，提高绩效指标设置的规范性、精准性和针对性，确保指标真实反映项目核心任务与实施成效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5841078C">
      <w:pPr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ascii="Times New Roman" w:hAnsi="Times New Roman"/>
        </w:rPr>
      </w:pPr>
    </w:p>
    <w:sectPr>
      <w:footerReference r:id="rId5" w:type="default"/>
      <w:pgSz w:w="11906" w:h="16838"/>
      <w:pgMar w:top="1701" w:right="1474" w:bottom="1134" w:left="1587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05620">
    <w:pPr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F683F8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F683F8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1A6E5"/>
    <w:multiLevelType w:val="singleLevel"/>
    <w:tmpl w:val="FCF1A6E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ZDk4NWFmNDQ3NGM0MDFjMzliNTA1ZWJkM2ZmZmEifQ=="/>
  </w:docVars>
  <w:rsids>
    <w:rsidRoot w:val="00000000"/>
    <w:rsid w:val="01743222"/>
    <w:rsid w:val="17C54591"/>
    <w:rsid w:val="1A2E572D"/>
    <w:rsid w:val="23307C29"/>
    <w:rsid w:val="249E0343"/>
    <w:rsid w:val="26066ECD"/>
    <w:rsid w:val="2F121AED"/>
    <w:rsid w:val="2FD81BC2"/>
    <w:rsid w:val="33943611"/>
    <w:rsid w:val="36164179"/>
    <w:rsid w:val="3C5A3270"/>
    <w:rsid w:val="3EF45B57"/>
    <w:rsid w:val="446E0646"/>
    <w:rsid w:val="4B47285C"/>
    <w:rsid w:val="55DA73FC"/>
    <w:rsid w:val="5A815260"/>
    <w:rsid w:val="5AB3021C"/>
    <w:rsid w:val="5EFF7ED4"/>
    <w:rsid w:val="61EA2269"/>
    <w:rsid w:val="653A5A1F"/>
    <w:rsid w:val="6659041F"/>
    <w:rsid w:val="674D3E1E"/>
    <w:rsid w:val="68BE5BA6"/>
    <w:rsid w:val="70FD5CC5"/>
    <w:rsid w:val="731965A5"/>
    <w:rsid w:val="78C80EDF"/>
    <w:rsid w:val="7D6356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adjustRightInd w:val="0"/>
      <w:snapToGrid w:val="0"/>
      <w:spacing w:line="360" w:lineRule="auto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link w:val="10"/>
    <w:qFormat/>
    <w:uiPriority w:val="0"/>
    <w:pPr>
      <w:keepNext/>
      <w:keepLines/>
      <w:spacing w:line="560" w:lineRule="exact"/>
      <w:outlineLvl w:val="0"/>
    </w:pPr>
    <w:rPr>
      <w:rFonts w:ascii="Times New Roman" w:hAnsi="Times New Roman" w:eastAsia="黑体"/>
      <w:kern w:val="44"/>
      <w:szCs w:val="2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line="560" w:lineRule="exact"/>
      <w:ind w:firstLine="200"/>
      <w:outlineLvl w:val="1"/>
    </w:pPr>
    <w:rPr>
      <w:rFonts w:ascii="Times New Roman" w:hAnsi="Times New Roman" w:eastAsia="楷体_GB2312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3"/>
    <w:next w:val="4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ody Text First Indent"/>
    <w:basedOn w:val="4"/>
    <w:qFormat/>
    <w:uiPriority w:val="0"/>
    <w:pPr>
      <w:widowControl w:val="0"/>
      <w:spacing w:after="0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2"/>
      <w:lang w:bidi="ar-SA"/>
    </w:rPr>
  </w:style>
  <w:style w:type="paragraph" w:styleId="4">
    <w:name w:val="Body Text"/>
    <w:basedOn w:val="1"/>
    <w:next w:val="1"/>
    <w:qFormat/>
    <w:uiPriority w:val="0"/>
    <w:rPr>
      <w:sz w:val="2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5"/>
    <w:qFormat/>
    <w:uiPriority w:val="0"/>
    <w:rPr>
      <w:rFonts w:ascii="Times New Roman" w:hAnsi="Times New Roman" w:eastAsia="黑体"/>
      <w:kern w:val="44"/>
      <w:sz w:val="32"/>
      <w:szCs w:val="22"/>
    </w:rPr>
  </w:style>
  <w:style w:type="paragraph" w:customStyle="1" w:styleId="11">
    <w:name w:val="表格名称"/>
    <w:basedOn w:val="1"/>
    <w:qFormat/>
    <w:uiPriority w:val="0"/>
    <w:pPr>
      <w:topLinePunct/>
      <w:jc w:val="center"/>
    </w:pPr>
    <w:rPr>
      <w:rFonts w:ascii="方正小标宋简体" w:hAnsi="方正小标宋简体" w:eastAsia="方正小标宋简体" w:cs="仿宋_GB2312"/>
      <w:b/>
      <w:bCs/>
      <w:sz w:val="24"/>
      <w:szCs w:val="24"/>
    </w:rPr>
  </w:style>
  <w:style w:type="paragraph" w:customStyle="1" w:styleId="12">
    <w:name w:val="表格文字"/>
    <w:basedOn w:val="1"/>
    <w:next w:val="1"/>
    <w:qFormat/>
    <w:uiPriority w:val="0"/>
    <w:pPr>
      <w:topLinePunct/>
      <w:spacing w:line="360" w:lineRule="exact"/>
      <w:jc w:val="center"/>
    </w:pPr>
    <w:rPr>
      <w:rFonts w:ascii="宋体" w:hAnsi="宋体" w:eastAsia="宋体" w:cs="仿宋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619</Words>
  <Characters>663</Characters>
  <Lines>0</Lines>
  <Paragraphs>0</Paragraphs>
  <TotalTime>0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wxb</dc:creator>
  <cp:lastModifiedBy>哄哄</cp:lastModifiedBy>
  <cp:lastPrinted>2026-08-21T07:41:00Z</cp:lastPrinted>
  <dcterms:modified xsi:type="dcterms:W3CDTF">2026-09-08T10:36:43Z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DD169CE225F24A3E809B5EFFE3F0620D_13</vt:lpwstr>
  </property>
  <property fmtid="{D5CDD505-2E9C-101B-9397-08002B2CF9AE}" pid="4" name="KSOTemplateDocerSaveRecord">
    <vt:lpwstr>eyJoZGlkIjoiYTMzYzRmOGQ3ODEyYzg0YWRjMGMyNmUyMDUwNTg2NDQiLCJ1c2VySWQiOiIxNjAyNDA4OTc2In0=</vt:lpwstr>
  </property>
</Properties>
</file>