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E9171">
      <w:pPr>
        <w:pStyle w:val="5"/>
        <w:bidi w:val="0"/>
        <w:ind w:left="0" w:leftChars="0" w:firstLine="0" w:firstLineChars="0"/>
        <w:rPr>
          <w:rFonts w:hint="default" w:ascii="Times New Roman" w:hAnsi="Times New Roman" w:eastAsia="黑体" w:cs="Times New Roman"/>
          <w:lang w:val="en-US"/>
        </w:rPr>
      </w:pPr>
    </w:p>
    <w:p w14:paraId="79F2A50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0315543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540F664C">
      <w:pPr>
        <w:pStyle w:val="2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5F147707">
      <w:pPr>
        <w:pStyle w:val="4"/>
        <w:rPr>
          <w:rFonts w:hint="default" w:ascii="Times New Roman" w:hAnsi="Times New Roman"/>
        </w:rPr>
      </w:pPr>
    </w:p>
    <w:p w14:paraId="6D473E04">
      <w:pPr>
        <w:pStyle w:val="4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5FA80296">
      <w:pPr>
        <w:rPr>
          <w:rFonts w:hint="default" w:ascii="Times New Roman" w:hAnsi="Times New Roman"/>
        </w:rPr>
      </w:pPr>
    </w:p>
    <w:p w14:paraId="507E11D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aps w:val="0"/>
          <w:smallCaps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bCs/>
          <w:caps w:val="0"/>
          <w:smallCaps w:val="0"/>
          <w:sz w:val="44"/>
          <w:szCs w:val="44"/>
          <w:highlight w:val="none"/>
        </w:rPr>
        <w:t>数字经济发展经费项目</w:t>
      </w:r>
    </w:p>
    <w:p w14:paraId="7E99599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aps w:val="0"/>
          <w:smallCaps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bCs/>
          <w:caps w:val="0"/>
          <w:smallCaps w:val="0"/>
          <w:sz w:val="44"/>
          <w:szCs w:val="44"/>
          <w:highlight w:val="none"/>
        </w:rPr>
        <w:t>绩效评价报告</w:t>
      </w:r>
    </w:p>
    <w:p w14:paraId="76644BD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p w14:paraId="1574E3C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before="1405" w:beforeLines="450" w:line="6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caps w:val="0"/>
          <w:smallCaps w:val="0"/>
          <w:sz w:val="32"/>
          <w:szCs w:val="32"/>
          <w:highlight w:val="none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5"/>
        <w:gridCol w:w="5085"/>
      </w:tblGrid>
      <w:tr w14:paraId="0AF09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365" w:type="dxa"/>
            <w:noWrap w:val="0"/>
            <w:vAlign w:val="top"/>
          </w:tcPr>
          <w:p w14:paraId="0142D13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  <w:t>评价委托单位：</w:t>
            </w:r>
          </w:p>
        </w:tc>
        <w:tc>
          <w:tcPr>
            <w:tcW w:w="5085" w:type="dxa"/>
            <w:noWrap w:val="0"/>
            <w:vAlign w:val="top"/>
          </w:tcPr>
          <w:p w14:paraId="1A9208B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  <w:t>中共内蒙古自治区委员会网络安全和信息化委员会办公室</w:t>
            </w:r>
          </w:p>
        </w:tc>
      </w:tr>
      <w:tr w14:paraId="1BE23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365" w:type="dxa"/>
            <w:noWrap w:val="0"/>
            <w:vAlign w:val="top"/>
          </w:tcPr>
          <w:p w14:paraId="6B9E1DE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pacing w:val="80"/>
                <w:kern w:val="0"/>
                <w:sz w:val="32"/>
                <w:szCs w:val="32"/>
                <w:highlight w:val="none"/>
                <w:fitText w:val="2240" w:id="1838440847"/>
              </w:rPr>
              <w:t>评价机构</w:t>
            </w: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pacing w:val="0"/>
                <w:kern w:val="0"/>
                <w:sz w:val="32"/>
                <w:szCs w:val="32"/>
                <w:highlight w:val="none"/>
                <w:fitText w:val="2240" w:id="1838440847"/>
              </w:rPr>
              <w:t>：</w:t>
            </w:r>
          </w:p>
        </w:tc>
        <w:tc>
          <w:tcPr>
            <w:tcW w:w="5085" w:type="dxa"/>
            <w:noWrap w:val="0"/>
            <w:vAlign w:val="top"/>
          </w:tcPr>
          <w:p w14:paraId="27C743F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aps w:val="0"/>
                <w:smallCaps w:val="0"/>
                <w:sz w:val="32"/>
                <w:szCs w:val="32"/>
                <w:highlight w:val="none"/>
              </w:rPr>
              <w:t>内蒙古溪流绩效管理咨询有限公司</w:t>
            </w:r>
          </w:p>
        </w:tc>
      </w:tr>
    </w:tbl>
    <w:p w14:paraId="0E8F077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</w:p>
    <w:p w14:paraId="2437DA4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20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月</w:t>
      </w:r>
    </w:p>
    <w:p w14:paraId="2532E6B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</w:p>
    <w:p w14:paraId="49E5693E">
      <w:pPr>
        <w:pStyle w:val="4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sectPr>
          <w:pgSz w:w="11906" w:h="16838"/>
          <w:pgMar w:top="1701" w:right="1474" w:bottom="1134" w:left="1587" w:header="850" w:footer="992" w:gutter="0"/>
          <w:pgNumType w:fmt="decimal"/>
          <w:cols w:space="720" w:num="1"/>
          <w:rtlGutter w:val="0"/>
          <w:docGrid w:type="lines" w:linePitch="312" w:charSpace="0"/>
        </w:sectPr>
      </w:pPr>
    </w:p>
    <w:p w14:paraId="0E8CD2B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aps w:val="0"/>
          <w:smallCaps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caps w:val="0"/>
          <w:smallCaps w:val="0"/>
          <w:sz w:val="44"/>
          <w:szCs w:val="44"/>
          <w:highlight w:val="none"/>
        </w:rPr>
        <w:t>数字经济发展经费项目绩效评价报告</w:t>
      </w:r>
    </w:p>
    <w:p w14:paraId="67E43939">
      <w:pPr>
        <w:pStyle w:val="5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autoSpaceDN/>
        <w:bidi w:val="0"/>
        <w:adjustRightInd w:val="0"/>
        <w:snapToGrid w:val="0"/>
        <w:spacing w:line="600" w:lineRule="exact"/>
        <w:ind w:left="-10" w:leftChars="0" w:firstLine="640" w:firstLineChars="200"/>
        <w:rPr>
          <w:rFonts w:hint="default" w:ascii="Times New Roman" w:hAnsi="Times New Roman" w:eastAsia="仿宋_GB2312" w:cs="Times New Roman"/>
          <w:kern w:val="44"/>
          <w:sz w:val="32"/>
          <w:szCs w:val="32"/>
          <w:highlight w:val="none"/>
          <w:lang w:val="en-US" w:eastAsia="zh-CN" w:bidi="ar-SA"/>
        </w:rPr>
      </w:pPr>
    </w:p>
    <w:p w14:paraId="137F30ED"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</w:rPr>
      </w:pPr>
      <w:bookmarkStart w:id="0" w:name="_Toc1105304914"/>
      <w:r>
        <w:rPr>
          <w:rFonts w:hint="default" w:ascii="Times New Roman" w:hAnsi="Times New Roman"/>
          <w:lang w:val="en-US" w:eastAsia="zh-CN"/>
        </w:rPr>
        <w:t>一、</w:t>
      </w:r>
      <w:r>
        <w:rPr>
          <w:rFonts w:hint="default" w:ascii="Times New Roman" w:hAnsi="Times New Roman"/>
        </w:rPr>
        <w:t>基本情况</w:t>
      </w:r>
      <w:bookmarkEnd w:id="0"/>
    </w:p>
    <w:p w14:paraId="6A17EC9C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val="en-US" w:eastAsia="zh-CN"/>
        </w:rPr>
      </w:pPr>
      <w:bookmarkStart w:id="1" w:name="_Toc882185311"/>
      <w:r>
        <w:rPr>
          <w:rFonts w:hint="default" w:ascii="Times New Roman" w:hAnsi="Times New Roman"/>
          <w:lang w:eastAsia="zh-CN"/>
        </w:rPr>
        <w:t>（</w:t>
      </w:r>
      <w:r>
        <w:rPr>
          <w:rFonts w:hint="default" w:ascii="Times New Roman" w:hAnsi="Times New Roman"/>
          <w:lang w:val="en-US" w:eastAsia="zh-CN"/>
        </w:rPr>
        <w:t>一</w:t>
      </w:r>
      <w:r>
        <w:rPr>
          <w:rFonts w:hint="default" w:ascii="Times New Roman" w:hAnsi="Times New Roman"/>
          <w:lang w:eastAsia="zh-CN"/>
        </w:rPr>
        <w:t>）</w:t>
      </w:r>
      <w:r>
        <w:rPr>
          <w:rFonts w:hint="default" w:ascii="Times New Roman" w:hAnsi="Times New Roman"/>
          <w:lang w:val="en-US" w:eastAsia="zh-CN"/>
        </w:rPr>
        <w:t>项目内容</w:t>
      </w:r>
      <w:bookmarkEnd w:id="1"/>
    </w:p>
    <w:p w14:paraId="6BC08C8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中共内蒙古自治区委员会网络安全和信息化委员会办公室（以下简称自治区党委网信办）作为统筹推进全区网络安全和信息化工作的核心职能部门，立足自治区数字经济发展实际需求，以筑牢数字安全屏障、赋能网信工作提质增效为核心目标，牵头实施数字经济发展经费项目。</w:t>
      </w:r>
    </w:p>
    <w:p w14:paraId="4B1F1B2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该项目紧扣数字经济安全发展与网信工作重点任务推进，通过系统性开展多维度工作，全面强化数字经济领域安全保障能力、完善网信工作支撑体系。本项目具体涵盖IPv6发展监测评估、数字乡村建设、网络数据安全检查评估、App/小程序安全评估、深化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相关项目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实施方案编制及尾款支付、个人信息保护社会调查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专项治理、</w:t>
      </w:r>
      <w:bookmarkStart w:id="9" w:name="_GoBack"/>
      <w:bookmarkEnd w:id="9"/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网信宣传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、专家咨询论证等九个子项目。</w:t>
      </w:r>
    </w:p>
    <w:p w14:paraId="58F7A7A3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val="en-US" w:eastAsia="zh-CN"/>
        </w:rPr>
      </w:pPr>
      <w:bookmarkStart w:id="2" w:name="_Toc1170915707"/>
      <w:r>
        <w:rPr>
          <w:rFonts w:hint="default" w:ascii="Times New Roman" w:hAnsi="Times New Roman"/>
          <w:lang w:val="en-US" w:eastAsia="zh-CN"/>
        </w:rPr>
        <w:t>（二）资金投入及支出情况</w:t>
      </w:r>
      <w:bookmarkEnd w:id="2"/>
    </w:p>
    <w:p w14:paraId="3F174A7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项目资金来源为财政预算安排，年初总投入资金271万元，全部用于数字经济发展相关的服务采购、宣传推广、专家评审等具体工作。</w:t>
      </w:r>
    </w:p>
    <w:p w14:paraId="4CA74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截止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2025年12月31日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，实际支出234.32万元，预算执行</w:t>
      </w:r>
      <w:r>
        <w:rPr>
          <w:rFonts w:hint="default" w:ascii="Times New Roman" w:hAnsi="Times New Roman" w:eastAsia="仿宋_GB2312" w:cs="Times New Roman"/>
          <w:caps w:val="0"/>
          <w:smallCaps w:val="0"/>
          <w:strike w:val="0"/>
          <w:dstrike w:val="0"/>
          <w:sz w:val="32"/>
          <w:szCs w:val="32"/>
          <w:highlight w:val="none"/>
          <w:lang w:val="en-US" w:eastAsia="zh-CN"/>
        </w:rPr>
        <w:t>率为86.46%，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结余资金36.68万元已于年底交回财政。</w:t>
      </w:r>
      <w:r>
        <w:rPr>
          <w:rFonts w:hint="default" w:ascii="Times New Roman" w:hAnsi="Times New Roman" w:eastAsia="仿宋_GB2312" w:cs="Times New Roman"/>
          <w:caps w:val="0"/>
          <w:smallCaps w:val="0"/>
          <w:strike w:val="0"/>
          <w:dstrike w:val="0"/>
          <w:sz w:val="32"/>
          <w:szCs w:val="32"/>
          <w:highlight w:val="none"/>
          <w:lang w:val="en-US" w:eastAsia="zh-CN"/>
        </w:rPr>
        <w:t>资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金实行专项管理、专款专用，未发现截留、挤占、挪用等违法违规情形。</w:t>
      </w:r>
    </w:p>
    <w:p w14:paraId="2E106A01">
      <w:pPr>
        <w:pStyle w:val="11"/>
        <w:keepNext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数字经济发展经费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年初预算资金执行表</w:t>
      </w:r>
    </w:p>
    <w:p w14:paraId="16486483">
      <w:pPr>
        <w:keepNext w:val="0"/>
        <w:keepLines w:val="0"/>
        <w:pageBreakBefore w:val="0"/>
        <w:widowControl w:val="0"/>
        <w:shd w:val="clear" w:color="auto" w:fill="auto"/>
        <w:suppressAutoHyphens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outlineLvl w:val="2"/>
        <w:rPr>
          <w:rFonts w:hint="default" w:ascii="Times New Roman" w:hAnsi="Times New Roman" w:eastAsia="仿宋_GB2312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highlight w:val="none"/>
          <w:lang w:val="en-US" w:eastAsia="zh-CN" w:bidi="ar-SA"/>
        </w:rPr>
        <w:t>单位：万元</w:t>
      </w:r>
    </w:p>
    <w:tbl>
      <w:tblPr>
        <w:tblStyle w:val="8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214"/>
        <w:gridCol w:w="4182"/>
        <w:gridCol w:w="972"/>
        <w:gridCol w:w="1204"/>
        <w:gridCol w:w="986"/>
      </w:tblGrid>
      <w:tr w14:paraId="643BC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  <w:jc w:val="center"/>
        </w:trPr>
        <w:tc>
          <w:tcPr>
            <w:tcW w:w="249" w:type="pct"/>
            <w:noWrap w:val="0"/>
            <w:vAlign w:val="center"/>
          </w:tcPr>
          <w:p w14:paraId="0B4620C3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676" w:type="pct"/>
            <w:noWrap w:val="0"/>
            <w:vAlign w:val="center"/>
          </w:tcPr>
          <w:p w14:paraId="1C27E7CD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2313" w:type="pct"/>
            <w:noWrap w:val="0"/>
            <w:vAlign w:val="center"/>
          </w:tcPr>
          <w:p w14:paraId="22DBC5F2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支出明细</w:t>
            </w:r>
          </w:p>
        </w:tc>
        <w:tc>
          <w:tcPr>
            <w:tcW w:w="542" w:type="pct"/>
            <w:noWrap w:val="0"/>
            <w:vAlign w:val="center"/>
          </w:tcPr>
          <w:p w14:paraId="5FBA7D5A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年初预算资金</w:t>
            </w:r>
          </w:p>
        </w:tc>
        <w:tc>
          <w:tcPr>
            <w:tcW w:w="670" w:type="pct"/>
            <w:noWrap w:val="0"/>
            <w:vAlign w:val="center"/>
          </w:tcPr>
          <w:p w14:paraId="68FABE21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实际支</w:t>
            </w:r>
          </w:p>
          <w:p w14:paraId="16868F1F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付金额</w:t>
            </w:r>
          </w:p>
        </w:tc>
        <w:tc>
          <w:tcPr>
            <w:tcW w:w="547" w:type="pct"/>
            <w:noWrap w:val="0"/>
            <w:vAlign w:val="center"/>
          </w:tcPr>
          <w:p w14:paraId="4BE30A91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结余</w:t>
            </w:r>
          </w:p>
          <w:p w14:paraId="5220D3FC"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资金</w:t>
            </w:r>
          </w:p>
        </w:tc>
      </w:tr>
      <w:tr w14:paraId="7C476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21C59D5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443BC3F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app/小程序安全评估服务</w:t>
            </w:r>
          </w:p>
        </w:tc>
        <w:tc>
          <w:tcPr>
            <w:tcW w:w="2313" w:type="pct"/>
            <w:noWrap w:val="0"/>
            <w:vAlign w:val="center"/>
          </w:tcPr>
          <w:p w14:paraId="78A7A3F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2025年APP/小程序安全评估服务项目委托采购代理服务费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026F614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35</w:t>
            </w:r>
          </w:p>
        </w:tc>
        <w:tc>
          <w:tcPr>
            <w:tcW w:w="670" w:type="pct"/>
            <w:noWrap w:val="0"/>
            <w:vAlign w:val="center"/>
          </w:tcPr>
          <w:p w14:paraId="03C88D9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0.8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79CDA8B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</w:t>
            </w:r>
          </w:p>
        </w:tc>
      </w:tr>
      <w:tr w14:paraId="2DD12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5047F52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324913E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6905A5C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2025年APP/小程序安全评估服务项目首付款（60%）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1FE7636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2A75FE2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20.4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47E3D4A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3D7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03AA9F9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666E82B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2C28782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支付委托业务费（评估尾款）：2025年APP/小程序安全评估服务项目合同尾款（40%）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3E659B5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39139D5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13.6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5385E50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8662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4F113E4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385AF7A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网络数据安全检查评估服务</w:t>
            </w:r>
          </w:p>
        </w:tc>
        <w:tc>
          <w:tcPr>
            <w:tcW w:w="2313" w:type="pct"/>
            <w:noWrap w:val="0"/>
            <w:vAlign w:val="center"/>
          </w:tcPr>
          <w:p w14:paraId="54FA734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2025年网络数据安全检查评估服务项目委托采购代理服务费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3217785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90</w:t>
            </w:r>
          </w:p>
        </w:tc>
        <w:tc>
          <w:tcPr>
            <w:tcW w:w="670" w:type="pct"/>
            <w:noWrap w:val="0"/>
            <w:vAlign w:val="center"/>
          </w:tcPr>
          <w:p w14:paraId="5D713EF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0.8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51C1764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0.6</w:t>
            </w:r>
          </w:p>
        </w:tc>
      </w:tr>
      <w:tr w14:paraId="48DD6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25E142C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1EC0969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7536933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2025年网络数据安全检查评估服务项目合同首付款（60%）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037A2E8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27FC517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53.16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49CEC9B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49E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0661E7D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0D9CC76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4050B6A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支付委托安全检查尾款：2025年网络数据安全检查评估服务项目采购合同尾款（40%）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1DE4263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02F31C1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35.44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40CD23E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2084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74DE22E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6CC7421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个人信息保护社会调查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专项治理服务</w:t>
            </w:r>
          </w:p>
        </w:tc>
        <w:tc>
          <w:tcPr>
            <w:tcW w:w="2313" w:type="pct"/>
            <w:noWrap w:val="0"/>
            <w:vAlign w:val="center"/>
          </w:tcPr>
          <w:p w14:paraId="3394AB0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2025年个人信息保护研究和专项治理支撑服务项目委托采购代理服务费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4C522EF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54</w:t>
            </w:r>
          </w:p>
        </w:tc>
        <w:tc>
          <w:tcPr>
            <w:tcW w:w="670" w:type="pct"/>
            <w:noWrap w:val="0"/>
            <w:vAlign w:val="center"/>
          </w:tcPr>
          <w:p w14:paraId="54648FB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0.8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7FC21AF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2.7</w:t>
            </w:r>
          </w:p>
        </w:tc>
      </w:tr>
      <w:tr w14:paraId="46DC3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6A35967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75A6FA5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329457D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支付委托业务费（首付款）：2025年个人信息保护研究和专项治理支撑服务项目合同首付（60%）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5E2AC23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410E2C0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30.3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2F150F4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D342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43CDAC3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3630E72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2C8E96C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支付委托业务费（尾款）：2025年个人信息保护研究和专项治理支撑服务项目合同尾款（40%）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408799A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47100BE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20.2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2E97F96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77F2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4C4E91C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7071B48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深化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相关项目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实施方案编制服务尾款</w:t>
            </w:r>
          </w:p>
        </w:tc>
        <w:tc>
          <w:tcPr>
            <w:tcW w:w="2313" w:type="pct"/>
            <w:noWrap w:val="0"/>
            <w:vAlign w:val="center"/>
          </w:tcPr>
          <w:p w14:paraId="6119534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深化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项目分级保护设计方案评审费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6369EC2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5.5</w:t>
            </w:r>
          </w:p>
        </w:tc>
        <w:tc>
          <w:tcPr>
            <w:tcW w:w="670" w:type="pct"/>
            <w:noWrap w:val="0"/>
            <w:vAlign w:val="center"/>
          </w:tcPr>
          <w:p w14:paraId="109CE91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0.3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088E894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185</w:t>
            </w:r>
          </w:p>
        </w:tc>
      </w:tr>
      <w:tr w14:paraId="0836D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78078EB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630CED3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057041A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支付个税：缴纳深化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项目分级保护设计方案评审专家个人所得税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376B911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670" w:type="pct"/>
            <w:noWrap w:val="0"/>
            <w:vAlign w:val="center"/>
          </w:tcPr>
          <w:p w14:paraId="6620548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0.015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772D882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2929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3B1D16B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4D11610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IPv6发展监测评估服务</w:t>
            </w:r>
          </w:p>
        </w:tc>
        <w:tc>
          <w:tcPr>
            <w:tcW w:w="2313" w:type="pct"/>
            <w:noWrap w:val="0"/>
            <w:vAlign w:val="center"/>
          </w:tcPr>
          <w:p w14:paraId="4CD4240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2024年IPv6监测技术服务项目专家评审费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7AB8D53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30</w:t>
            </w:r>
          </w:p>
        </w:tc>
        <w:tc>
          <w:tcPr>
            <w:tcW w:w="670" w:type="pct"/>
            <w:noWrap w:val="0"/>
            <w:vAlign w:val="center"/>
          </w:tcPr>
          <w:p w14:paraId="5687352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0.24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733D3EF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0.28</w:t>
            </w:r>
          </w:p>
        </w:tc>
      </w:tr>
      <w:tr w14:paraId="7B89B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3B6FFB5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13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2B60373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7BC491F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2024年IPv6监测技术服务项目合同尾款（40%）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2A41F7B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255F723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11.52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2834783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5CAE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39BAC49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14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5341791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0EB674F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2025年IPv6监测技术服务与IPv6发展形势分析研究服务项目委托采购代理服务费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0BC64B3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19C09DD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0.8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4DDBC4A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A29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62AB7C8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15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2DF25D6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6DC0056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2025年IPv6监测技术服务项目首付款（60%）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4D38879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08601B6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10.08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0AE43EB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6AD8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20BE8F7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16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15D42FF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493E42A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IPv6发展形势分析研究服务项目首付款（60%）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0B03D5E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55F0D8B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7.08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5A75A2C0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607A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2B48634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17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57537F2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数字乡村建设工作</w:t>
            </w:r>
          </w:p>
        </w:tc>
        <w:tc>
          <w:tcPr>
            <w:tcW w:w="2313" w:type="pct"/>
            <w:noWrap w:val="0"/>
            <w:vAlign w:val="center"/>
          </w:tcPr>
          <w:p w14:paraId="70CBD53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支付劳务费：2025年网信创新人才和网信优秀人才推荐评审专家劳务费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057A539C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23</w:t>
            </w:r>
          </w:p>
        </w:tc>
        <w:tc>
          <w:tcPr>
            <w:tcW w:w="670" w:type="pct"/>
            <w:noWrap w:val="0"/>
            <w:vAlign w:val="center"/>
          </w:tcPr>
          <w:p w14:paraId="2440E16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0.24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0D18415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22.52</w:t>
            </w:r>
          </w:p>
        </w:tc>
      </w:tr>
      <w:tr w14:paraId="00379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5F39AEC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18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7284441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73E4C56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专家评审费：2025年全国数字乡村创新大赛初赛专家评审费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3E73CDA2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670" w:type="pct"/>
            <w:noWrap w:val="0"/>
            <w:vAlign w:val="center"/>
          </w:tcPr>
          <w:p w14:paraId="5967A4F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0.24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68BD6CF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C0EB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6CA350BF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19</w:t>
            </w:r>
          </w:p>
        </w:tc>
        <w:tc>
          <w:tcPr>
            <w:tcW w:w="676" w:type="pct"/>
            <w:vMerge w:val="restart"/>
            <w:noWrap w:val="0"/>
            <w:vAlign w:val="center"/>
          </w:tcPr>
          <w:p w14:paraId="05F24D0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网信宣传项目</w:t>
            </w:r>
          </w:p>
        </w:tc>
        <w:tc>
          <w:tcPr>
            <w:tcW w:w="2313" w:type="pct"/>
            <w:noWrap w:val="0"/>
            <w:vAlign w:val="center"/>
          </w:tcPr>
          <w:p w14:paraId="61258E3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2025年网信宣传项目首付款（60%）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 w14:paraId="36F0A60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30</w:t>
            </w:r>
          </w:p>
        </w:tc>
        <w:tc>
          <w:tcPr>
            <w:tcW w:w="670" w:type="pct"/>
            <w:noWrap w:val="0"/>
            <w:vAlign w:val="center"/>
          </w:tcPr>
          <w:p w14:paraId="51278F1B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16.91</w:t>
            </w:r>
          </w:p>
        </w:tc>
        <w:tc>
          <w:tcPr>
            <w:tcW w:w="547" w:type="pct"/>
            <w:vMerge w:val="restart"/>
            <w:noWrap w:val="0"/>
            <w:vAlign w:val="center"/>
          </w:tcPr>
          <w:p w14:paraId="14302233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1.81</w:t>
            </w:r>
          </w:p>
        </w:tc>
      </w:tr>
      <w:tr w14:paraId="6C34C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6FC3C534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676" w:type="pct"/>
            <w:vMerge w:val="continue"/>
            <w:noWrap w:val="0"/>
            <w:vAlign w:val="center"/>
          </w:tcPr>
          <w:p w14:paraId="44DD452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13" w:type="pct"/>
            <w:noWrap w:val="0"/>
            <w:vAlign w:val="center"/>
          </w:tcPr>
          <w:p w14:paraId="3AD3984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网信宣传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合同尾款（40%）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 w14:paraId="458485C5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670" w:type="pct"/>
            <w:noWrap w:val="0"/>
            <w:vAlign w:val="center"/>
          </w:tcPr>
          <w:p w14:paraId="3CA6BFD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11.2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547" w:type="pct"/>
            <w:vMerge w:val="continue"/>
            <w:noWrap w:val="0"/>
            <w:vAlign w:val="center"/>
          </w:tcPr>
          <w:p w14:paraId="5A1F17A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A1E4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49" w:type="pct"/>
            <w:noWrap w:val="0"/>
            <w:vAlign w:val="center"/>
          </w:tcPr>
          <w:p w14:paraId="4DFE675A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21</w:t>
            </w:r>
          </w:p>
        </w:tc>
        <w:tc>
          <w:tcPr>
            <w:tcW w:w="676" w:type="pct"/>
            <w:noWrap w:val="0"/>
            <w:vAlign w:val="center"/>
          </w:tcPr>
          <w:p w14:paraId="3A08C5C7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专家咨询论证</w:t>
            </w:r>
          </w:p>
        </w:tc>
        <w:tc>
          <w:tcPr>
            <w:tcW w:w="2313" w:type="pct"/>
            <w:noWrap w:val="0"/>
            <w:vAlign w:val="center"/>
          </w:tcPr>
          <w:p w14:paraId="41397D96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网信宣传项目评审劳务费</w:t>
            </w:r>
          </w:p>
        </w:tc>
        <w:tc>
          <w:tcPr>
            <w:tcW w:w="542" w:type="pct"/>
            <w:noWrap w:val="0"/>
            <w:vAlign w:val="center"/>
          </w:tcPr>
          <w:p w14:paraId="296C6938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3.5</w:t>
            </w:r>
          </w:p>
        </w:tc>
        <w:tc>
          <w:tcPr>
            <w:tcW w:w="670" w:type="pct"/>
            <w:noWrap w:val="0"/>
            <w:vAlign w:val="center"/>
          </w:tcPr>
          <w:p w14:paraId="287BF3F1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0.12</w:t>
            </w:r>
          </w:p>
        </w:tc>
        <w:tc>
          <w:tcPr>
            <w:tcW w:w="547" w:type="pct"/>
            <w:noWrap w:val="0"/>
            <w:vAlign w:val="center"/>
          </w:tcPr>
          <w:p w14:paraId="0FC7AF79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3.38</w:t>
            </w:r>
          </w:p>
        </w:tc>
      </w:tr>
      <w:tr w14:paraId="388AB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239" w:type="pct"/>
            <w:gridSpan w:val="3"/>
            <w:noWrap w:val="0"/>
            <w:vAlign w:val="center"/>
          </w:tcPr>
          <w:p w14:paraId="3F4497B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合计</w:t>
            </w:r>
          </w:p>
        </w:tc>
        <w:tc>
          <w:tcPr>
            <w:tcW w:w="542" w:type="pct"/>
            <w:noWrap w:val="0"/>
            <w:vAlign w:val="center"/>
          </w:tcPr>
          <w:p w14:paraId="4CFA7F0D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271</w:t>
            </w:r>
          </w:p>
        </w:tc>
        <w:tc>
          <w:tcPr>
            <w:tcW w:w="670" w:type="pct"/>
            <w:noWrap w:val="0"/>
            <w:vAlign w:val="center"/>
          </w:tcPr>
          <w:p w14:paraId="7327804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234.32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547" w:type="pct"/>
            <w:noWrap w:val="0"/>
            <w:vAlign w:val="center"/>
          </w:tcPr>
          <w:p w14:paraId="51644EBE">
            <w:pPr>
              <w:pStyle w:val="12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36.6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75</w:t>
            </w:r>
          </w:p>
        </w:tc>
      </w:tr>
    </w:tbl>
    <w:p w14:paraId="08C387B2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val="en-US" w:eastAsia="zh-CN"/>
        </w:rPr>
      </w:pPr>
      <w:bookmarkStart w:id="3" w:name="_Toc1289520804"/>
      <w:r>
        <w:rPr>
          <w:rFonts w:hint="default" w:ascii="Times New Roman" w:hAnsi="Times New Roman"/>
          <w:lang w:val="en-US" w:eastAsia="zh-CN"/>
        </w:rPr>
        <w:t>（三）项目绩效目标</w:t>
      </w:r>
      <w:bookmarkEnd w:id="3"/>
    </w:p>
    <w:p w14:paraId="6FFC9A5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1.项目绩效总目标</w:t>
      </w:r>
    </w:p>
    <w:p w14:paraId="30B6ADF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IPv6发展监测评估服务项目，建立规范的IPv6发展监测机制，编制3份高质量IPv6发展监测报告；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数字乡村建设工作项目，完成数字乡村建设相关报告编制，规范组织网信创新人才评审及数字乡村创新大赛初赛；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网络数据安全检查评估服务项目，完成9家重点单位信息系统评估，编制9份评估报告；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四是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App/小程序安全评估服务项目，完成100个App/小程序安全评估，形成整改规范；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五是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深化相关项目实施方案编制评审工作，保障项目顺利结项，足额支付评审相关费用；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六是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个人信息保护专项治理服务项目，完成40个以内高频场景被检主体治理，编制专项治理报告；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七是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个人信息保护社会调查服务项目，摸排重点行业个人信息保护现状，编制社会调查报告；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八是</w:t>
      </w:r>
      <w:r>
        <w:rPr>
          <w:rFonts w:hint="eastAsia" w:ascii="Times New Roman" w:hAnsi="Times New Roman" w:cs="Times New Roman"/>
          <w:b w:val="0"/>
          <w:bCs w:val="0"/>
          <w:caps w:val="0"/>
          <w:smallCaps w:val="0"/>
          <w:sz w:val="32"/>
          <w:szCs w:val="32"/>
          <w:highlight w:val="none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网信宣传项目，完成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采购与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验收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九是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专家咨询论证项目，组织1次专家咨询论证会，提供专业支撑。</w:t>
      </w:r>
    </w:p>
    <w:p w14:paraId="2C31BDB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2.项目绩效阶段性目标</w:t>
      </w:r>
    </w:p>
    <w:p w14:paraId="7A16056A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一是发展监测评估报告按季度出具，严格遵循年度时效要求完成IPv6发展监测报告的编制提交，确保每季度报告及时反映IPv6发展动态与数字经济发展态势；</w:t>
      </w:r>
    </w:p>
    <w:p w14:paraId="4682585F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二是安全评估技术服务报告在评估完成后1个月之内出具，分4批次开展App/小程序安全评估，每批次评估工作结束后1个月内完成对应批次安全评估报告编制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；</w:t>
      </w:r>
    </w:p>
    <w:p w14:paraId="42089743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三是个人信息保护专项治理报告于2025年11月底前完成编制并提交，专项治理现场工作（5-9月）结束后，集中梳理治理数据、问题整改情况及成效，按时效要求完成报告编制备案；</w:t>
      </w:r>
    </w:p>
    <w:p w14:paraId="3FAD995F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四是个人信息保护社会调查报告于2025年11月底前完成编制并提交，同步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与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专项治理工作开展社会调研，及时汇总调研数据、分析结果，确保报告与专项治理报告同步提交、相互支撑；</w:t>
      </w:r>
    </w:p>
    <w:p w14:paraId="12C9D61F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五是网络数据安全评估报告在评估完成后1个月之内出具，9家单位的评估工作分季度推进，每完成1家单位的现场核查与技术检测，1个月内完成对应评估报告编制，保障整改工作及时启动；</w:t>
      </w:r>
    </w:p>
    <w:p w14:paraId="785B5094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六是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产品验收时间符合合同要求，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2025年4月完成网信宣传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项目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合同签订后，按合同约定15天实施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相关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采购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工作并完成验收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，确保后续宣传活动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顺利开展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；</w:t>
      </w:r>
    </w:p>
    <w:p w14:paraId="05BDBEB7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七是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产品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使用时间符合活动要求，在网络安全宣传周、全民数字素养提升月、互联网违法和不良信息举报宣传等活动开展期间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使用，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提升宣传效果；</w:t>
      </w:r>
    </w:p>
    <w:p w14:paraId="2C52D627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八是4-8月分批次完成App/小程序安全评估全流程后，8月底前制定安全问题整改指引，为评估对象整改及后续同类评估工作提供明确依据；</w:t>
      </w:r>
    </w:p>
    <w:p w14:paraId="18000F51"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九是10月底前完成个人信息保护治理档案整理归档，涵盖现场核验记录、整改通知书等核心资料，确保档案分类清晰、内容完整，支撑后续治理工作参考。</w:t>
      </w:r>
    </w:p>
    <w:p w14:paraId="4F6044A1">
      <w:pPr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val="en-US" w:eastAsia="zh-CN"/>
        </w:rPr>
      </w:pPr>
    </w:p>
    <w:p w14:paraId="7930AD58">
      <w:pPr>
        <w:pStyle w:val="5"/>
        <w:pageBreakBefore w:val="0"/>
        <w:widowControl w:val="0"/>
        <w:numPr>
          <w:ilvl w:val="0"/>
          <w:numId w:val="1"/>
        </w:numPr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</w:rPr>
      </w:pPr>
      <w:bookmarkStart w:id="4" w:name="_Toc412385108"/>
      <w:r>
        <w:rPr>
          <w:rFonts w:hint="default" w:ascii="Times New Roman" w:hAnsi="Times New Roman"/>
        </w:rPr>
        <w:t>评价结论</w:t>
      </w:r>
      <w:bookmarkEnd w:id="4"/>
    </w:p>
    <w:p w14:paraId="1C51A6C9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eastAsia="zh-CN"/>
        </w:rPr>
      </w:pPr>
      <w:bookmarkStart w:id="5" w:name="_Toc1943641755"/>
      <w:r>
        <w:rPr>
          <w:rFonts w:hint="default" w:ascii="Times New Roman" w:hAnsi="Times New Roman"/>
          <w:lang w:eastAsia="zh-CN"/>
        </w:rPr>
        <w:t>（一）评价结果</w:t>
      </w:r>
      <w:bookmarkEnd w:id="5"/>
    </w:p>
    <w:p w14:paraId="4D0585C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该项目绩效评价综合评分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94.47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，评级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优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。</w:t>
      </w:r>
    </w:p>
    <w:p w14:paraId="5DFDE5DD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lang w:eastAsia="zh-CN"/>
        </w:rPr>
      </w:pPr>
      <w:bookmarkStart w:id="6" w:name="_Toc532495933"/>
      <w:r>
        <w:rPr>
          <w:rFonts w:hint="default" w:ascii="Times New Roman" w:hAnsi="Times New Roman"/>
          <w:lang w:eastAsia="zh-CN"/>
        </w:rPr>
        <w:t>（</w:t>
      </w:r>
      <w:r>
        <w:rPr>
          <w:rFonts w:hint="default" w:ascii="Times New Roman" w:hAnsi="Times New Roman"/>
          <w:lang w:val="en-US" w:eastAsia="zh-CN"/>
        </w:rPr>
        <w:t>二</w:t>
      </w:r>
      <w:r>
        <w:rPr>
          <w:rFonts w:hint="default" w:ascii="Times New Roman" w:hAnsi="Times New Roman"/>
          <w:lang w:eastAsia="zh-CN"/>
        </w:rPr>
        <w:t>）总体结论</w:t>
      </w:r>
      <w:bookmarkEnd w:id="6"/>
    </w:p>
    <w:p w14:paraId="1D6C5A8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本项目立项合规、绩效目标明确，核心产出任务全面完成，在网络数据安全防护、个人信息保护、网信知识普及等方面取得显著社会效益，可持续影响良好。但存在预算编制精准性不足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eastAsia="zh-CN"/>
        </w:rPr>
        <w:t>、绩效指标设置缺乏明确性等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</w:rPr>
        <w:t>问题，需进一步优化管理流程、强化预算约束。</w:t>
      </w:r>
    </w:p>
    <w:p w14:paraId="02E6F06B">
      <w:pPr>
        <w:pStyle w:val="5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</w:rPr>
      </w:pPr>
      <w:bookmarkStart w:id="7" w:name="_Toc1552707048"/>
      <w:r>
        <w:rPr>
          <w:rFonts w:hint="default" w:ascii="Times New Roman" w:hAnsi="Times New Roman"/>
          <w:lang w:eastAsia="zh-CN"/>
        </w:rPr>
        <w:t>三</w:t>
      </w:r>
      <w:r>
        <w:rPr>
          <w:rFonts w:hint="default" w:ascii="Times New Roman" w:hAnsi="Times New Roman"/>
        </w:rPr>
        <w:t>、主要问题及相关建议</w:t>
      </w:r>
      <w:bookmarkEnd w:id="7"/>
    </w:p>
    <w:p w14:paraId="4C9EA708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outlineLvl w:val="1"/>
        <w:rPr>
          <w:rFonts w:hint="default" w:ascii="Times New Roman" w:hAnsi="Times New Roman"/>
          <w:lang w:val="en-US" w:eastAsia="zh-CN"/>
        </w:rPr>
      </w:pPr>
      <w:bookmarkStart w:id="8" w:name="_Toc208472648"/>
      <w:r>
        <w:rPr>
          <w:rFonts w:hint="default" w:ascii="Times New Roman" w:hAnsi="Times New Roman"/>
          <w:lang w:val="en-US" w:eastAsia="zh-CN"/>
        </w:rPr>
        <w:t>（一）预算管理方面</w:t>
      </w:r>
      <w:bookmarkEnd w:id="8"/>
    </w:p>
    <w:p w14:paraId="5D12EE1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问题：预算编制精准性不足，前期调研与测算不充分。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val="en-US" w:eastAsia="zh-CN"/>
        </w:rPr>
        <w:t>数字乡村建设项目年初预算23万元，实际仅支出0.48万元，年初预算执行率仅2.09%，形成资金沉淀；专家咨询论证项目年初预算3.5万元，实际支出0.12万元，预算与实际支出偏差较大。</w:t>
      </w:r>
    </w:p>
    <w:p w14:paraId="7C800D0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建议：</w:t>
      </w:r>
      <w:r>
        <w:rPr>
          <w:rFonts w:hint="eastAsia" w:ascii="Times New Roman" w:hAnsi="Times New Roman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强化预算编制科学论证，严格遵循“先论证、后编制”原则，结合财政厅“过紧日子”工作要求及单位实际履职需要，针对项目开展多方案、多口径成本测算，选择成本最低、效益最优方案，切实做到预算编制与实际需求精准匹配；</w:t>
      </w: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加强预算管理</w:t>
      </w:r>
      <w:r>
        <w:rPr>
          <w:rFonts w:hint="eastAsia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应定期、不定期监控预算执行情况，动态识别执行偏差。对因政策原因及工作任务调整等因素产生的执行偏差，应按预算调整有关要求，及时统筹盘活资金，有效提高财政资金使用效益。</w:t>
      </w:r>
    </w:p>
    <w:p w14:paraId="3E9FF72A">
      <w:pPr>
        <w:pStyle w:val="6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/>
          <w:highlight w:val="none"/>
          <w:lang w:val="en-US" w:eastAsia="zh-CN"/>
        </w:rPr>
      </w:pPr>
      <w:r>
        <w:rPr>
          <w:rFonts w:hint="default" w:ascii="Times New Roman" w:hAnsi="Times New Roman"/>
          <w:highlight w:val="none"/>
          <w:lang w:val="en-US" w:eastAsia="zh-CN"/>
        </w:rPr>
        <w:t>（</w:t>
      </w:r>
      <w:r>
        <w:rPr>
          <w:rFonts w:hint="eastAsia" w:ascii="Times New Roman" w:hAnsi="Times New Roman"/>
          <w:highlight w:val="none"/>
          <w:lang w:val="en-US" w:eastAsia="zh-CN"/>
        </w:rPr>
        <w:t>二</w:t>
      </w:r>
      <w:r>
        <w:rPr>
          <w:rFonts w:hint="default" w:ascii="Times New Roman" w:hAnsi="Times New Roman"/>
          <w:highlight w:val="none"/>
          <w:lang w:val="en-US" w:eastAsia="zh-CN"/>
        </w:rPr>
        <w:t>）</w:t>
      </w:r>
      <w:r>
        <w:rPr>
          <w:rFonts w:hint="eastAsia" w:ascii="Times New Roman" w:hAnsi="Times New Roman"/>
          <w:highlight w:val="none"/>
          <w:lang w:val="en-US" w:eastAsia="zh-CN"/>
        </w:rPr>
        <w:t>绩效</w:t>
      </w:r>
      <w:r>
        <w:rPr>
          <w:rFonts w:hint="default" w:ascii="Times New Roman" w:hAnsi="Times New Roman"/>
          <w:highlight w:val="none"/>
          <w:lang w:val="en-US" w:eastAsia="zh-CN"/>
        </w:rPr>
        <w:t>管理方面</w:t>
      </w:r>
    </w:p>
    <w:p w14:paraId="71BC8E5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问题：</w:t>
      </w:r>
      <w:r>
        <w:rPr>
          <w:rFonts w:hint="eastAsia" w:ascii="Times New Roman" w:hAnsi="Times New Roman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部分</w:t>
      </w:r>
      <w:r>
        <w:rPr>
          <w:rFonts w:hint="eastAsia" w:ascii="Times New Roman" w:hAnsi="Times New Roman" w:cs="Times New Roman"/>
          <w:b/>
          <w:bCs/>
          <w:caps w:val="0"/>
          <w:smallCaps w:val="0"/>
          <w:sz w:val="32"/>
          <w:szCs w:val="32"/>
          <w:highlight w:val="none"/>
          <w:lang w:eastAsia="zh-CN"/>
        </w:rPr>
        <w:t>绩效指标设置不规范、精准度不足。</w:t>
      </w:r>
      <w:r>
        <w:rPr>
          <w:rFonts w:hint="default" w:ascii="Times New Roman" w:hAnsi="Times New Roman" w:eastAsia="仿宋_GB2312" w:cs="Times New Roman"/>
          <w:caps w:val="0"/>
          <w:smallCaps w:val="0"/>
          <w:sz w:val="32"/>
          <w:szCs w:val="32"/>
          <w:highlight w:val="none"/>
          <w:lang w:eastAsia="zh-CN"/>
        </w:rPr>
        <w:t>数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eastAsia="zh-CN"/>
        </w:rPr>
        <w:t>量指标中设定的三级指标“产品验收批次”，指标值仅设定为完成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1批次，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批次并非核心考核维度，指标</w:t>
      </w:r>
      <w:r>
        <w:rPr>
          <w:rFonts w:hint="eastAsia" w:ascii="Times New Roman" w:hAnsi="Times New Roman" w:cs="Times New Roman"/>
          <w:b w:val="0"/>
          <w:bCs w:val="0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设置</w:t>
      </w:r>
      <w:r>
        <w:rPr>
          <w:rFonts w:hint="eastAsia" w:ascii="Times New Roman" w:hAnsi="Times New Roman" w:cs="Times New Roman"/>
          <w:caps w:val="0"/>
          <w:smallCaps w:val="0"/>
          <w:sz w:val="32"/>
          <w:szCs w:val="32"/>
          <w:highlight w:val="none"/>
          <w:lang w:val="en-US" w:eastAsia="zh-CN"/>
        </w:rPr>
        <w:t>与项目核心目标任务不匹配，缺乏准确性与针对性；时效指标中“发展监测报告出具时间”仅明确按季度出具，未明确具体时间节点，指标表述模糊、可衡量性不强，无法准确反映项目年度核心任务完成情况。</w:t>
      </w:r>
    </w:p>
    <w:p w14:paraId="5CB71F8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textAlignment w:val="auto"/>
        <w:rPr>
          <w:rFonts w:ascii="Times New Roman" w:hAnsi="Times New Roman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建议：</w:t>
      </w:r>
      <w:r>
        <w:rPr>
          <w:rFonts w:hint="eastAsia" w:ascii="Times New Roman" w:hAnsi="Times New Roman" w:cs="Times New Roman"/>
          <w:b/>
          <w:bCs/>
          <w:caps w:val="0"/>
          <w:smallCaps w:val="0"/>
          <w:sz w:val="32"/>
          <w:szCs w:val="32"/>
          <w:highlight w:val="none"/>
          <w:lang w:val="en-US" w:eastAsia="zh-CN"/>
        </w:rPr>
        <w:t>强化第三方专业支撑，提升绩效指标科学化、精细化管理水平。</w:t>
      </w:r>
      <w:r>
        <w:rPr>
          <w:rFonts w:hint="eastAsia" w:ascii="Times New Roman" w:hAnsi="Times New Roman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引入第三方专业机构，全程协助开展绩效指标梳理、设置、审核与完善工作，提高绩效指标设置的规范性、精准性和针对性，确保指标真实反映项目核心任务与实施成效</w:t>
      </w:r>
      <w:r>
        <w:rPr>
          <w:rFonts w:hint="default" w:ascii="Times New Roman" w:hAnsi="Times New Roman" w:eastAsia="仿宋_GB2312" w:cs="Times New Roman"/>
          <w:caps w:val="0"/>
          <w:smallCaps w:val="0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5841078C">
      <w:pPr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ascii="Times New Roman" w:hAnsi="Times New Roman"/>
        </w:rPr>
      </w:pPr>
    </w:p>
    <w:sectPr>
      <w:footerReference r:id="rId5" w:type="default"/>
      <w:pgSz w:w="11906" w:h="16838"/>
      <w:pgMar w:top="1701" w:right="1474" w:bottom="1134" w:left="1587" w:header="851" w:footer="992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05620">
    <w:pPr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F683F8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F683F8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F1A6E5"/>
    <w:multiLevelType w:val="singleLevel"/>
    <w:tmpl w:val="FCF1A6E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0ZDk4NWFmNDQ3NGM0MDFjMzliNTA1ZWJkM2ZmZmEifQ=="/>
  </w:docVars>
  <w:rsids>
    <w:rsidRoot w:val="00000000"/>
    <w:rsid w:val="01743222"/>
    <w:rsid w:val="17C54591"/>
    <w:rsid w:val="23307C29"/>
    <w:rsid w:val="249E0343"/>
    <w:rsid w:val="26066ECD"/>
    <w:rsid w:val="2F121AED"/>
    <w:rsid w:val="2FD81BC2"/>
    <w:rsid w:val="33943611"/>
    <w:rsid w:val="36164179"/>
    <w:rsid w:val="3C5A3270"/>
    <w:rsid w:val="3EF45B57"/>
    <w:rsid w:val="446E0646"/>
    <w:rsid w:val="4B47285C"/>
    <w:rsid w:val="55DA73FC"/>
    <w:rsid w:val="5A815260"/>
    <w:rsid w:val="5AB3021C"/>
    <w:rsid w:val="5EFF7ED4"/>
    <w:rsid w:val="61EA2269"/>
    <w:rsid w:val="653A5A1F"/>
    <w:rsid w:val="6659041F"/>
    <w:rsid w:val="674D3E1E"/>
    <w:rsid w:val="68BE5BA6"/>
    <w:rsid w:val="70FD5CC5"/>
    <w:rsid w:val="731965A5"/>
    <w:rsid w:val="78C80EDF"/>
    <w:rsid w:val="7D63567A"/>
    <w:rsid w:val="7D6800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adjustRightInd w:val="0"/>
      <w:snapToGrid w:val="0"/>
      <w:spacing w:line="360" w:lineRule="auto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paragraph" w:styleId="5">
    <w:name w:val="heading 1"/>
    <w:basedOn w:val="1"/>
    <w:next w:val="1"/>
    <w:link w:val="10"/>
    <w:qFormat/>
    <w:uiPriority w:val="0"/>
    <w:pPr>
      <w:keepNext/>
      <w:keepLines/>
      <w:spacing w:line="560" w:lineRule="exact"/>
      <w:outlineLvl w:val="0"/>
    </w:pPr>
    <w:rPr>
      <w:rFonts w:ascii="Times New Roman" w:hAnsi="Times New Roman" w:eastAsia="黑体"/>
      <w:kern w:val="44"/>
      <w:szCs w:val="22"/>
    </w:rPr>
  </w:style>
  <w:style w:type="paragraph" w:styleId="6">
    <w:name w:val="heading 2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line="560" w:lineRule="exact"/>
      <w:ind w:firstLine="200"/>
      <w:outlineLvl w:val="1"/>
    </w:pPr>
    <w:rPr>
      <w:rFonts w:ascii="Times New Roman" w:hAnsi="Times New Roman" w:eastAsia="楷体_GB2312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3"/>
    <w:next w:val="4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Body Text First Indent"/>
    <w:basedOn w:val="4"/>
    <w:qFormat/>
    <w:uiPriority w:val="0"/>
    <w:pPr>
      <w:widowControl w:val="0"/>
      <w:spacing w:after="0"/>
      <w:ind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2"/>
      <w:lang w:bidi="ar-SA"/>
    </w:rPr>
  </w:style>
  <w:style w:type="paragraph" w:styleId="4">
    <w:name w:val="Body Text"/>
    <w:basedOn w:val="1"/>
    <w:next w:val="1"/>
    <w:qFormat/>
    <w:uiPriority w:val="0"/>
    <w:rPr>
      <w:sz w:val="2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Char"/>
    <w:link w:val="5"/>
    <w:qFormat/>
    <w:uiPriority w:val="0"/>
    <w:rPr>
      <w:rFonts w:ascii="Times New Roman" w:hAnsi="Times New Roman" w:eastAsia="黑体"/>
      <w:kern w:val="44"/>
      <w:sz w:val="32"/>
      <w:szCs w:val="22"/>
    </w:rPr>
  </w:style>
  <w:style w:type="paragraph" w:customStyle="1" w:styleId="11">
    <w:name w:val="表格名称"/>
    <w:basedOn w:val="1"/>
    <w:qFormat/>
    <w:uiPriority w:val="0"/>
    <w:pPr>
      <w:topLinePunct/>
      <w:jc w:val="center"/>
    </w:pPr>
    <w:rPr>
      <w:rFonts w:ascii="方正小标宋简体" w:hAnsi="方正小标宋简体" w:eastAsia="方正小标宋简体" w:cs="仿宋_GB2312"/>
      <w:b/>
      <w:bCs/>
      <w:sz w:val="24"/>
      <w:szCs w:val="24"/>
    </w:rPr>
  </w:style>
  <w:style w:type="paragraph" w:customStyle="1" w:styleId="12">
    <w:name w:val="表格文字"/>
    <w:basedOn w:val="1"/>
    <w:next w:val="1"/>
    <w:qFormat/>
    <w:uiPriority w:val="0"/>
    <w:pPr>
      <w:topLinePunct/>
      <w:spacing w:line="360" w:lineRule="exact"/>
      <w:jc w:val="center"/>
    </w:pPr>
    <w:rPr>
      <w:rFonts w:ascii="宋体" w:hAnsi="宋体" w:eastAsia="宋体" w:cs="仿宋_GB231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619</Words>
  <Characters>663</Characters>
  <Lines>0</Lines>
  <Paragraphs>0</Paragraphs>
  <TotalTime>0</TotalTime>
  <ScaleCrop>false</ScaleCrop>
  <LinksUpToDate>false</LinksUpToDate>
  <CharactersWithSpaces>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wxb</dc:creator>
  <cp:lastModifiedBy>哄哄</cp:lastModifiedBy>
  <cp:lastPrinted>2026-08-21T07:41:00Z</cp:lastPrinted>
  <dcterms:modified xsi:type="dcterms:W3CDTF">2026-09-08T10:36:06Z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DD169CE225F24A3E809B5EFFE3F0620D_13</vt:lpwstr>
  </property>
  <property fmtid="{D5CDD505-2E9C-101B-9397-08002B2CF9AE}" pid="4" name="KSOTemplateDocerSaveRecord">
    <vt:lpwstr>eyJoZGlkIjoiYTMzYzRmOGQ3ODEyYzg0YWRjMGMyNmUyMDUwNTg2NDQiLCJ1c2VySWQiOiIxNjAyNDA4OTc2In0=</vt:lpwstr>
  </property>
</Properties>
</file>